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УПРАВЛЕНИЕ ФЕДЕРАЛЬНОЙ НАЛОГОВОЙ СЛУЖБЫ</w:t>
      </w:r>
    </w:p>
    <w:p>
      <w:pPr>
        <w:pStyle w:val="2"/>
        <w:jc w:val="center"/>
      </w:pPr>
      <w:r>
        <w:rPr>
          <w:sz w:val="20"/>
        </w:rPr>
        <w:t xml:space="preserve">ПО Г. МОСКВЕ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19 января 2023 г. N 27-16/005026@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Управление Федеральной налоговой службы по г. Москве (далее - Управление) рассмотрело интернет-обращение и сообщает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6" w:tooltip="&quot;Налоговый кодекс Российской Федерации (часть вторая)&quot; от 05.08.2000 N 117-ФЗ (ред. от 17.02.2023) (с изм. и доп., вступ. в силу с 01.03.2023) ------------ Недействующая редакция {КонсультантПлюс}">
        <w:r>
          <w:rPr>
            <w:sz w:val="20"/>
            <w:color w:val="0000ff"/>
          </w:rPr>
          <w:t xml:space="preserve">подпунктом 1 пункта 1 статьи 419</w:t>
        </w:r>
      </w:hyperlink>
      <w:r>
        <w:rPr>
          <w:sz w:val="20"/>
        </w:rPr>
        <w:t xml:space="preserve"> Налогового кодекса Российской Федерации (далее - Кодекс) плательщиками страховых взносов признаются лица, производящие выплаты и иные вознаграждения физическим лицам и являющиеся страхователями в соответствии с федеральными законами о конкретных видах обязательного социального страхования, в частности, организации.</w:t>
      </w:r>
    </w:p>
    <w:p>
      <w:pPr>
        <w:pStyle w:val="0"/>
        <w:spacing w:before="200" w:line-rule="auto"/>
        <w:ind w:firstLine="540"/>
        <w:jc w:val="both"/>
      </w:pPr>
      <w:hyperlink w:history="0" r:id="rId7" w:tooltip="&quot;Налоговый кодекс Российской Федерации (часть вторая)&quot; от 05.08.2000 N 117-ФЗ (ред. от 17.02.2023) (с изм. и доп., вступ. в силу с 01.03.2023) ------------ Недействующая редакция {КонсультантПлюс}">
        <w:r>
          <w:rPr>
            <w:sz w:val="20"/>
            <w:color w:val="0000ff"/>
          </w:rPr>
          <w:t xml:space="preserve">Пунктом 7 статьи 431</w:t>
        </w:r>
      </w:hyperlink>
      <w:r>
        <w:rPr>
          <w:sz w:val="20"/>
        </w:rPr>
        <w:t xml:space="preserve"> Кодекса установлено, что плательщики, указанные в </w:t>
      </w:r>
      <w:hyperlink w:history="0" r:id="rId8" w:tooltip="&quot;Налоговый кодекс Российской Федерации (часть вторая)&quot; от 05.08.2000 N 117-ФЗ (ред. от 17.02.2023) (с изм. и доп., вступ. в силу с 01.03.2023) ------------ Недействующая редакция {КонсультантПлюс}">
        <w:r>
          <w:rPr>
            <w:sz w:val="20"/>
            <w:color w:val="0000ff"/>
          </w:rPr>
          <w:t xml:space="preserve">подпункте 1 пункта 1 статьи 419</w:t>
        </w:r>
      </w:hyperlink>
      <w:r>
        <w:rPr>
          <w:sz w:val="20"/>
        </w:rPr>
        <w:t xml:space="preserve"> Кодекса (за исключением физических лиц, производящих выплаты, указанные в </w:t>
      </w:r>
      <w:hyperlink w:history="0" r:id="rId9" w:tooltip="&quot;Налоговый кодекс Российской Федерации (часть вторая)&quot; от 05.08.2000 N 117-ФЗ (ред. от 17.02.2023) (с изм. и доп., вступ. в силу с 01.03.2023) ------------ Недействующая редакция {КонсультантПлюс}">
        <w:r>
          <w:rPr>
            <w:sz w:val="20"/>
            <w:color w:val="0000ff"/>
          </w:rPr>
          <w:t xml:space="preserve">подпункте 3 пункта 3 статьи 422</w:t>
        </w:r>
      </w:hyperlink>
      <w:r>
        <w:rPr>
          <w:sz w:val="20"/>
        </w:rPr>
        <w:t xml:space="preserve"> Кодекса), представляют по форме, формату и в порядке, которые утверждены федеральным органом исполнительной власти, уполномоченным по контролю и надзору в области налогов и сборов, в налоговый орган по месту нахождения организации и по месту нахождения обособленных подразделений организации, которым организацией открыты счета в банках и которые начисляют и производят выплаты и иные вознаграждения в пользу физических лиц, по месту жительства физического лица, производящего выплаты и иные вознаграждения физическим лицам, в частности персонифицированные сведения о физических лицах, включающие персональные данные физических лиц и сведения о суммах выплат и иных вознаграждений в их пользу за предшествующий календарный месяц, не позднее 25-го числа каждого месяца, следующего за истекшим.</w:t>
      </w:r>
    </w:p>
    <w:p>
      <w:pPr>
        <w:pStyle w:val="0"/>
        <w:spacing w:before="200" w:line-rule="auto"/>
        <w:ind w:firstLine="540"/>
        <w:jc w:val="both"/>
      </w:pPr>
      <w:hyperlink w:history="0" r:id="rId10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ФНС России от 29.09.2022 N ЕД-7-11/878@ утверждены формы расчета по страховым взносам и персонифицированных сведений о физических лицах, порядок их заполнения, а также форматы их представления в электронной форме.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hyperlink w:history="0" r:id="rId11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пункту 3.1</w:t>
        </w:r>
      </w:hyperlink>
      <w:r>
        <w:rPr>
          <w:sz w:val="20"/>
        </w:rPr>
        <w:t xml:space="preserve"> Порядка заполнения формы персонифицированных сведений о физических лицах (приложение N 4 к приказу ФНС России от 29.09.2022 N ЕД-7-11/878@) персональные данные физических лиц и сведения о суммах выплат и иных вознаграждений в их пользу (далее - Данные) заполняются плательщиками в отношении всех застрахованных лиц за период, за который представляются сведения, в том числе в пользу которых начислены выплаты и иные вознаграждения в рамках трудовых отношений и гражданско-правовых договоров, предметом которых является выполнение работ, оказание услуг, по договорам авторского заказа, в пользу авторов произведений по договорам об отчуждении исключительного права на результаты интеллектуальной деятельности, указанные в </w:t>
      </w:r>
      <w:hyperlink w:history="0" r:id="rId12" w:tooltip="&quot;Гражданский кодекс Российской Федерации (часть четвертая)&quot; от 18.12.2006 N 230-ФЗ (ред. от 05.12.2022) {КонсультантПлюс}">
        <w:r>
          <w:rPr>
            <w:sz w:val="20"/>
            <w:color w:val="0000ff"/>
          </w:rPr>
          <w:t xml:space="preserve">подпунктах 1</w:t>
        </w:r>
      </w:hyperlink>
      <w:r>
        <w:rPr>
          <w:sz w:val="20"/>
        </w:rPr>
        <w:t xml:space="preserve"> - </w:t>
      </w:r>
      <w:hyperlink w:history="0" r:id="rId13" w:tooltip="&quot;Гражданский кодекс Российской Федерации (часть четвертая)&quot; от 18.12.2006 N 230-ФЗ (ред. от 05.12.2022) {КонсультантПлюс}">
        <w:r>
          <w:rPr>
            <w:sz w:val="20"/>
            <w:color w:val="0000ff"/>
          </w:rPr>
          <w:t xml:space="preserve">12 пункта 1 статьи 1225</w:t>
        </w:r>
      </w:hyperlink>
      <w:r>
        <w:rPr>
          <w:sz w:val="20"/>
        </w:rPr>
        <w:t xml:space="preserve"> Гражданского кодекса Российской Федерации, издательским лицензионным договорам, лицензионным договорам о предоставлении права использования результатов интеллектуальной деятельности, указанных в </w:t>
      </w:r>
      <w:hyperlink w:history="0" r:id="rId14" w:tooltip="&quot;Гражданский кодекс Российской Федерации (часть четвертая)&quot; от 18.12.2006 N 230-ФЗ (ред. от 05.12.2022) {КонсультантПлюс}">
        <w:r>
          <w:rPr>
            <w:sz w:val="20"/>
            <w:color w:val="0000ff"/>
          </w:rPr>
          <w:t xml:space="preserve">подпунктах 1</w:t>
        </w:r>
      </w:hyperlink>
      <w:r>
        <w:rPr>
          <w:sz w:val="20"/>
        </w:rPr>
        <w:t xml:space="preserve"> - </w:t>
      </w:r>
      <w:hyperlink w:history="0" r:id="rId15" w:tooltip="&quot;Гражданский кодекс Российской Федерации (часть четвертая)&quot; от 18.12.2006 N 230-ФЗ (ред. от 05.12.2022) {КонсультантПлюс}">
        <w:r>
          <w:rPr>
            <w:sz w:val="20"/>
            <w:color w:val="0000ff"/>
          </w:rPr>
          <w:t xml:space="preserve">12 пункта 1 статьи 1225</w:t>
        </w:r>
      </w:hyperlink>
      <w:r>
        <w:rPr>
          <w:sz w:val="20"/>
        </w:rPr>
        <w:t xml:space="preserve"> Гражданского кодекса Российской Федерации, в том числе вознаграждения, начисляемые организациями по управлению правами на коллективной основе в пользу авторов произведений по договорам, заключенным с пользователями, или с которыми заключены трудовые договоры и (или) гражданско-правовые договоры.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сведения представляются на всех работников, числившихся у работодателя в отчетном месяце по трудовому договору или работавших по ГПД, включая тех, кто в нем уволился, и тех, у кого не было выплат.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отчет включаются персональные данные каждого физического лица и сумма выплат (строка </w:t>
      </w:r>
      <w:hyperlink w:history="0" r:id="rId16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070</w:t>
        </w:r>
      </w:hyperlink>
      <w:r>
        <w:rPr>
          <w:sz w:val="20"/>
        </w:rPr>
        <w:t xml:space="preserve">), начисленных ему за истекший месяц, как облагаемых, так и не облагаемых страховыми взносами.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отсутствии выплат в текущем месяце на работника заполняются строки </w:t>
      </w:r>
      <w:hyperlink w:history="0" r:id="rId17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020</w:t>
        </w:r>
      </w:hyperlink>
      <w:r>
        <w:rPr>
          <w:sz w:val="20"/>
        </w:rPr>
        <w:t xml:space="preserve"> - </w:t>
      </w:r>
      <w:hyperlink w:history="0" r:id="rId18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060</w:t>
        </w:r>
      </w:hyperlink>
      <w:r>
        <w:rPr>
          <w:sz w:val="20"/>
        </w:rPr>
        <w:t xml:space="preserve"> (</w:t>
      </w:r>
      <w:hyperlink w:history="0" r:id="rId19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пункт 3.7</w:t>
        </w:r>
      </w:hyperlink>
      <w:r>
        <w:rPr>
          <w:sz w:val="20"/>
        </w:rPr>
        <w:t xml:space="preserve"> Порядка заполнения). В строке </w:t>
      </w:r>
      <w:hyperlink w:history="0" r:id="rId20" w:tooltip="Приказ ФНС России от 29.09.2022 N ЕД-7-11/878@ &quot;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&quot; (Зарегистрировано в Минюсте России 27.10.2022 N 70727) {КонсультантПлюс}">
        <w:r>
          <w:rPr>
            <w:sz w:val="20"/>
            <w:color w:val="0000ff"/>
          </w:rPr>
          <w:t xml:space="preserve">070</w:t>
        </w:r>
      </w:hyperlink>
      <w:r>
        <w:rPr>
          <w:sz w:val="20"/>
        </w:rPr>
        <w:t xml:space="preserve"> (сведения о выплатах) проставляется прочерк.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Одновременно Управление сообщает, что данное письмо не является нормативным правовым актом, не влечет изменение правового регулирования налоговых отношений, не содержит норм, влекущих юридические последствия для неопределенного круга лиц, и носит информационный характер.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Государственный советник</w:t>
      </w:r>
    </w:p>
    <w:p>
      <w:pPr>
        <w:pStyle w:val="0"/>
        <w:jc w:val="right"/>
      </w:pPr>
      <w:r>
        <w:rPr>
          <w:sz w:val="20"/>
        </w:rPr>
        <w:t xml:space="preserve">Российской Федерации 2 класса</w:t>
      </w:r>
    </w:p>
    <w:p>
      <w:pPr>
        <w:pStyle w:val="0"/>
        <w:jc w:val="right"/>
      </w:pPr>
      <w:r>
        <w:rPr>
          <w:sz w:val="20"/>
        </w:rPr>
        <w:t xml:space="preserve">Е.А. Круглова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&lt;Письмо&gt; УФНС России по г. Москве от 19.01.2023 N 27-16/005026@</w:t>
            <w:br/>
            <w:t>&lt;О порядке предоставления сведений на работников платель...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03.04.2023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&lt;Письмо&gt; УФНС России по г. Москве от 19.01.2023 N 27-16/005026@ &lt;О порядке предоставления сведений на работников платель...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03.04.2023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38470&amp;dst=13385" TargetMode = "External"/>
	<Relationship Id="rId7" Type="http://schemas.openxmlformats.org/officeDocument/2006/relationships/hyperlink" Target="https://login.consultant.ru/link/?req=doc&amp;base=LAW&amp;n=438470&amp;dst=23087" TargetMode = "External"/>
	<Relationship Id="rId8" Type="http://schemas.openxmlformats.org/officeDocument/2006/relationships/hyperlink" Target="https://login.consultant.ru/link/?req=doc&amp;base=LAW&amp;n=438470&amp;dst=13385" TargetMode = "External"/>
	<Relationship Id="rId9" Type="http://schemas.openxmlformats.org/officeDocument/2006/relationships/hyperlink" Target="https://login.consultant.ru/link/?req=doc&amp;base=LAW&amp;n=438470&amp;dst=14003" TargetMode = "External"/>
	<Relationship Id="rId10" Type="http://schemas.openxmlformats.org/officeDocument/2006/relationships/hyperlink" Target="https://login.consultant.ru/link/?req=doc&amp;base=LAW&amp;n=430066&amp;dst=100007" TargetMode = "External"/>
	<Relationship Id="rId11" Type="http://schemas.openxmlformats.org/officeDocument/2006/relationships/hyperlink" Target="https://login.consultant.ru/link/?req=doc&amp;base=LAW&amp;n=430066&amp;dst=101255" TargetMode = "External"/>
	<Relationship Id="rId12" Type="http://schemas.openxmlformats.org/officeDocument/2006/relationships/hyperlink" Target="https://login.consultant.ru/link/?req=doc&amp;base=LAW&amp;n=433439&amp;dst=100011" TargetMode = "External"/>
	<Relationship Id="rId13" Type="http://schemas.openxmlformats.org/officeDocument/2006/relationships/hyperlink" Target="https://login.consultant.ru/link/?req=doc&amp;base=LAW&amp;n=433439&amp;dst=100022" TargetMode = "External"/>
	<Relationship Id="rId14" Type="http://schemas.openxmlformats.org/officeDocument/2006/relationships/hyperlink" Target="https://login.consultant.ru/link/?req=doc&amp;base=LAW&amp;n=433439&amp;dst=100011" TargetMode = "External"/>
	<Relationship Id="rId15" Type="http://schemas.openxmlformats.org/officeDocument/2006/relationships/hyperlink" Target="https://login.consultant.ru/link/?req=doc&amp;base=LAW&amp;n=433439&amp;dst=100022" TargetMode = "External"/>
	<Relationship Id="rId16" Type="http://schemas.openxmlformats.org/officeDocument/2006/relationships/hyperlink" Target="https://login.consultant.ru/link/?req=doc&amp;base=LAW&amp;n=430066&amp;dst=100559" TargetMode = "External"/>
	<Relationship Id="rId17" Type="http://schemas.openxmlformats.org/officeDocument/2006/relationships/hyperlink" Target="https://login.consultant.ru/link/?req=doc&amp;base=LAW&amp;n=430066&amp;dst=100554" TargetMode = "External"/>
	<Relationship Id="rId18" Type="http://schemas.openxmlformats.org/officeDocument/2006/relationships/hyperlink" Target="https://login.consultant.ru/link/?req=doc&amp;base=LAW&amp;n=430066&amp;dst=100557" TargetMode = "External"/>
	<Relationship Id="rId19" Type="http://schemas.openxmlformats.org/officeDocument/2006/relationships/hyperlink" Target="https://login.consultant.ru/link/?req=doc&amp;base=LAW&amp;n=430066&amp;dst=101265" TargetMode = "External"/>
	<Relationship Id="rId20" Type="http://schemas.openxmlformats.org/officeDocument/2006/relationships/hyperlink" Target="https://login.consultant.ru/link/?req=doc&amp;base=LAW&amp;n=430066&amp;dst=10055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&lt;Письмо&gt; УФНС России по г. Москве от 19.01.2023 N 27-16/005026@
&lt;О порядке предоставления сведений на работников плательщиками страховых взносов&gt;</dc:title>
  <dcterms:created xsi:type="dcterms:W3CDTF">2023-04-03T04:30:51Z</dcterms:created>
</cp:coreProperties>
</file>